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338 vom 8. November 2016</w:t>
      </w:r>
    </w:p>
    <w:p>
      <w:r>
        <w:t>FR Kantonsgericht, 2016-11-08, FR</w:t>
      </w:r>
    </w:p>
    <w:p>
      <w:r>
        <w:rPr>
          <w:b/>
        </w:rPr>
        <w:t xml:space="preserve">Quelle: </w:t>
      </w:r>
      <w:r>
        <w:t>https://mcp.opencaselaw.ch/entscheid/fr_gerichte_101 2016 338</w:t>
      </w:r>
    </w:p>
    <w:p>
      <w:r>
        <w:t>FR: FR_GERICHTE 101 2016 338 du 8 novembre 2016</w:t>
      </w:r>
    </w:p>
    <w:p>
      <w:r>
        <w:t>IT: FR_GERICHTE 101 2016 338 del 8 novembre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juillet 2016, puis CHF 233.60 à compter du 1er août 2016 et ce pendant encore deux ans (l'intimée effectuant depuis le mois d'août 2016 sa 2ème année d'apprentissage), la valeur litigieuse pour un recours au Tribunal fédéral est a priori inférieure à CHF 30'000.- (art. 51 al. 1 let. a et al. 4 LTF). 2. a) Selon l'art. 276 al. 1 CC, les père et mère doivent pourvoir à l'entretien de l'enfant et assumer, par conséquent, les frais de son éducation, de sa formation et des mesures prises pour le protéger. L'art. 276 al. 2 CC précise que l'entretien est assuré par les soins et l'éducation ou, lorsque l'enfant n'est pas sous la garde de ses père et mère, par des prestations pécuniaires. De plus, selon l'art. 276 al. 3 CC, les parents sont déliés de leur obligation d'entretien dans la mesure où l'on peut attendre de l'enfant qu'il subvienne à son entretien par le produit de son travail ou par ses autres ressources. L'art. 285 al. 1 CC dispose, quant à lui,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S'agissant de la durée de l'obligation d'entretien, l'art. 277 al. 1 CC prévoit qu'elle s'étend en principe jusqu'à la majorité de l'enfant; toutefois, l'art. 277 al. 2 CC précise que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Selon la jurisprudence, une contribution d'entretien est en principe due après la majorité lorsque le père ou la mère, après avoir réglé ses propres charges, impôts courants inclus, est en mesure de verser un montant sans porter atteinte à son minimum vital élargi de 20%; le juge dispose d'un large pouvoir d'appréciation lorsqu'il fixe la contribution d'entretien, il statue selon l'équité (art. 4 CC) en tenant compte de toutes les circonstances importantes du cas d'espèce (arrêt TF 5A_785/2010 du 30 juin 2011 consid. 4.1). b) En l'espèce, l'appelant ne nie pas devoir contribuer à l'entretien de sa fille. Cela étant, il conclut à la modification du chiffre 1 du dispositif de la décision attaquée en ce sens qu'il soit astreint à verser à l'intimée une contribution d'entretien, allocations de formation en sus, de CHF 489.60 du 1er mai 2016 au 31 juillet 2016, puis de CHF 366.40 dès le 1er août 2016. Il soutient que dans la mesure où c'est lui-même qui s'acquitte de la prime d'assurance-maladie de sa fille, il n'y a pas de raison d'ajouter dans les charges de cette dernière un montant de CHF 199.75 à ce titre, de sorte que son déficit doit être diminué en conséquence et, partant, la pension due. Dans sa réponse, l'intimée admet que c'est son père qui s'acquitte de sa prime d'assurance-maladie; pour le surplus, elle s'en remet à justice. c) Dans la mesure où B.________ a elle-même admis, lors de l'audience du 21 juin 2016, que son père s'acquittait de sa prime d'assurance-maladie et réduit ses conclusions en conséquence (DO/29), c'est manifestement par inadvertance que le Président du Tribunal en a</w:t>
      </w:r>
    </w:p>
    <w:p>
      <w:r>
        <w:t>Tribunal cantonal TC Page 4 de 6 tenu compte dans le calcul du coût d'entretien de cette dernière. Partant, il s'impose de corriger le déficit supporté par l'intimée, en ce sens qu'il s'établit, après déduction des allocations de formation, à CHF 489.60 (CHF 689.35 - CHF 199.75) du 1er mai 2016 au 31 juillet 2016, puis à CHF 366.40 (CHF 566.15 - CHF 199.75) dès le 1er août 2016 (cf. décision attaquée, p. 5). Dans ces conditions, compte tenu du fait que le principe de disposition (art. 58 al. 1 CPC) semble devoir s'appliquer à l'action alimentaire d'un enfant majeur (cf. ATF 139 III 368 consid. 3.1 et 3.4), même s'il n'est pas dans l'habitude de la Cour de fixer des pensions au centime près, il sera fait droit aux conclusions de l'appelant, l'intimée s'en remettant d'ailleurs à justice. Partant, A.________ sera astreint à verser à sa fille une contribution d'entretien mensuelle de CHF 489.60 du 1er mai 2016 au 31 juillet 2016, puis de CHF 366.40 à compter du 1er août 2016, les allocations de formation étant payables en sus. Il est en outre précisé que l'appelant, en sus de la contribution d'entretien précitée, s'acquitte également de la prime d'assurance-maladie de B.________. Il s'ensuit l'admission de l'appel. 3. Vu le sort de l'appel, la question de l'effet suspensif devient sans objet. 4. a) Dans son mémoire de réponse, l'intimée requiert le bénéfice de l'assistance judiciaire pour la procédure d'appel. b) En vertu de l'art. 117 CPC, une partie a droit à l'assistance judiciaire si elle ne dispose pas de ressources suffisantes et si sa cause ne paraît pas dépourvue de toute chance de succès. En l'espèce, il ressort du dossier, en particulier de la décision querellée (p. 4-5), que B.________ réalise un salaire mensuel net établi à CHF 1'188.45, en sus duquel elle a déclaré percevoir des bonnes mains pour un montant maximal de CHF 100.- par mois; elle supporte des charges à hauteur de CHF 1'959.85 (loyer par CHF 570.-, frais d'écolage par CHF 29.85, frais de repas par CHF 160.-, minimum vital par CHF 1'200.-) et subit dès lors un déficit de CHF 671.40. Celui-ci, même en tenant compte de la contribution à son entretien qu'elle doit percevoir de son père, fixée dans le présent arrêt à CHF 366.40 dès le 1er août 2016, allocations de formation par CHF 305.- en sus, est tout juste couvert, sans compter les impôts et l'élargissement de son minimum vital notamment. Son indigence est dès lors manifeste. En outre, sa position juridique au stade de l'appel ne pouvait être considérée d'emblée comme dénuée de toute chance de succès au sens de la jurisprudence (ATF 133 III 614 consid. 5). Partant, sa requête d'assistance judiciaire sera admise, étant rappelé que l'assistance judiciaire est remboursable dès que la partie est en mesure de le faire (art. 123 al. 1 CPC). En conséquence, B.________ est exonérée des frais judiciaires et Me Christian Delaloye, avocat, lui est désigné en qualité de défenseur d'office. 5. Pour la procédure d'appel, A.________ conclut à ce que les frais et dépens y relatifs soient mis à la charge de l'intimée, laquelle conclut à ce que les frais judiciaires soient mis à la charge de l'Etat et à ce qu'il ne soit pas octroyé de dépens.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CPC n'est pas applicable, fût-ce par analogie, à des frais imputables aux parties ou à des tiers, de telle sorte que le canton ne peut être condamné à verser des dépens à des parties, sauf lorsqu'il revêt lui-même</w:t>
      </w:r>
    </w:p>
    <w:p>
      <w:r>
        <w:t>Tribunal cantonal TC Page 5 de 6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l'appelant obtient gain de cause, le chiffre 1 du dispositif de la décision attaqué étant modifié en sa faveur, en raison d'une erreur commise par le juge précédent. Partant, les frais de la procédure d'appel, fixés à CHF 600.-, seront laissés à la charge de l'Etat, qui se substitue au Président du Tribunal civil de la Sarine. bb) Quant aux dépens, ils ne peuvent être mis à la charge de l'Etat (cf. ATF 139 précité). En outre, l'admission de l'appel n'est nullement imputable à l'intimée, qui s'en remet à justice. Dans ces conditions, il ne sera pas alloué de dépens à l'appelant. c) La décision de première instance n'étant pas finale, c'est à juste titre que les frais y relatifs ont été réservés (art.104 al. 3 CPC); il n'y a donc pas lieu de faire application de l'art. 318 al. 3 CPC. (dispositif en page suivante)</w:t>
      </w:r>
    </w:p>
    <w:p>
      <w:r>
        <w:t>Tribunal cantonal TC Page 6 de 6 la Cour arrête: I. L'appel est admis. Partant, le chiffre 1 du dispositif de la décision rendue le 22 septembre 2016 par le Président du Tribunal civil de la Sarine est modifié pour prendre la teneur suivante: " 1. A.________ est astreint à contribuer à l'entretien de B.________ par le paiement de sa prime d'assurance-maladie et par le versement, mensuellement et d'avance, d'une contribution d'entretien, allocations de formation en sus, de CHF 489.60 du 1er mai 2016 au 31 juillet 2016, puis de CHF 366.40 dès le 1er août 2016." II. La requête d'assistance judiciaire présentée par l'intimée est admise. Partant, l'assistance judiciaire est accordée pour l'appel à B.________, qui est en conséquence exonérée des frais judiciaires et à qui est désigné un défenseur d'office rémunéré par l'Etat en la personne de Me Christian Delaloye, avocat. III. Les frais de la procédure d'appel, fixés à CHF 600.-, sont laissés à la charge de l'Etat, qui se substitue au Président du Tribunal civil de la Sarine. IV. Il n'est pas alloué de dépens.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novembre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